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" w:hAnsi="Arial" w:eastAsia="Arial" w:cs="Arial"/>
          <w:color w:val="000000"/>
          <w:sz w:val="48"/>
          <w:szCs w:val="48"/>
          <w:b w:val="1"/>
          <w:bCs w:val="1"/>
        </w:rPr>
        <w:t xml:space="preserve">BIO-3.3.1</w:t>
      </w:r>
    </w:p>
    <w:p>
      <w:pPr/>
    </w:p>
    <w:p>
      <w:pPr/>
      <w:r>
        <w:rPr/>
        <w:t xml:space="preserve">analizira racionalnu uporabu prirodnih energetskih resursa sukladno očuvanju prirode i okoliša</w:t>
      </w:r>
    </w:p>
    <w:sectPr>
      <w:pgSz w:orient="portrait" w:w="11905.511811023622" w:h="16837.79527559055"/>
      <w:pgMar w:top="10" w:right="10" w:bottom="10" w:left="1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2026-09-09T01:26:46+02:00</dcterms:created>
  <dcterms:modified xsi:type="dcterms:W3CDTF">2026-09-09T01:26:46+02:00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